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71D0BF">
      <w:pPr>
        <w:keepNext w:val="0"/>
        <w:keepLines w:val="0"/>
        <w:pageBreakBefore w:val="0"/>
        <w:kinsoku/>
        <w:wordWrap/>
        <w:overflowPunct/>
        <w:topLinePunct w:val="0"/>
        <w:autoSpaceDE/>
        <w:autoSpaceDN/>
        <w:bidi w:val="0"/>
        <w:adjustRightInd/>
        <w:snapToGrid/>
        <w:spacing w:line="520" w:lineRule="exact"/>
        <w:textAlignment w:val="auto"/>
        <w:rPr>
          <w:rFonts w:hint="eastAsia" w:ascii="CESI仿宋-GB18030" w:hAnsi="CESI仿宋-GB18030" w:eastAsia="CESI仿宋-GB18030" w:cs="CESI仿宋-GB18030"/>
          <w:b w:val="0"/>
          <w:bCs w:val="0"/>
          <w:sz w:val="32"/>
          <w:szCs w:val="32"/>
        </w:rPr>
      </w:pPr>
      <w:r>
        <w:rPr>
          <w:rFonts w:hint="eastAsia" w:ascii="CESI仿宋-GB18030" w:hAnsi="CESI仿宋-GB18030" w:eastAsia="CESI仿宋-GB18030" w:cs="CESI仿宋-GB18030"/>
          <w:b w:val="0"/>
          <w:bCs w:val="0"/>
          <w:sz w:val="32"/>
          <w:szCs w:val="32"/>
        </w:rPr>
        <w:t>附件</w:t>
      </w:r>
      <w:r>
        <w:rPr>
          <w:rFonts w:hint="eastAsia" w:ascii="CESI仿宋-GB18030" w:hAnsi="CESI仿宋-GB18030" w:eastAsia="CESI仿宋-GB18030" w:cs="CESI仿宋-GB18030"/>
          <w:b w:val="0"/>
          <w:bCs w:val="0"/>
          <w:sz w:val="32"/>
          <w:szCs w:val="32"/>
          <w:lang w:val="en-US" w:eastAsia="zh-CN"/>
        </w:rPr>
        <w:t>4</w:t>
      </w:r>
    </w:p>
    <w:p w14:paraId="38B4F49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eastAsia="方正小标宋简体" w:hAnsiTheme="minorHAnsi"/>
          <w:sz w:val="44"/>
          <w:szCs w:val="44"/>
        </w:rPr>
      </w:pPr>
    </w:p>
    <w:p w14:paraId="5F88AAA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eastAsia="方正小标宋简体" w:hAnsiTheme="minorHAnsi"/>
          <w:sz w:val="44"/>
          <w:szCs w:val="44"/>
        </w:rPr>
      </w:pPr>
      <w:r>
        <w:rPr>
          <w:rFonts w:hint="eastAsia" w:ascii="方正小标宋简体" w:eastAsia="方正小标宋简体" w:hAnsiTheme="minorHAnsi"/>
          <w:sz w:val="44"/>
          <w:szCs w:val="44"/>
        </w:rPr>
        <w:t>关于</w:t>
      </w:r>
      <w:r>
        <w:rPr>
          <w:rFonts w:hint="eastAsia" w:ascii="方正小标宋简体" w:eastAsia="方正小标宋简体" w:hAnsiTheme="minorHAnsi"/>
          <w:sz w:val="44"/>
          <w:szCs w:val="44"/>
          <w:lang w:val="en-US" w:eastAsia="zh-CN"/>
        </w:rPr>
        <w:t>部分检验</w:t>
      </w:r>
      <w:r>
        <w:rPr>
          <w:rFonts w:hint="eastAsia" w:ascii="方正小标宋简体" w:eastAsia="方正小标宋简体" w:hAnsiTheme="minorHAnsi"/>
          <w:sz w:val="44"/>
          <w:szCs w:val="44"/>
        </w:rPr>
        <w:t>项目的说明</w:t>
      </w:r>
    </w:p>
    <w:p w14:paraId="70DF3DA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textAlignment w:val="auto"/>
        <w:rPr>
          <w:rFonts w:hint="eastAsia" w:ascii="Arial" w:hAnsi="Arial" w:eastAsia="宋体" w:cs="Arial"/>
          <w:b/>
          <w:bCs/>
          <w:i w:val="0"/>
          <w:iCs w:val="0"/>
          <w:caps w:val="0"/>
          <w:color w:val="333333"/>
          <w:spacing w:val="0"/>
          <w:sz w:val="28"/>
          <w:szCs w:val="28"/>
          <w:shd w:val="clear" w:fill="FFFFFF"/>
          <w:lang w:val="en-US" w:eastAsia="zh-CN"/>
        </w:rPr>
      </w:pPr>
    </w:p>
    <w:p w14:paraId="15484D8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一、阴离子合成洗涤剂（以十二烷基苯磺酸钠计</w:t>
      </w:r>
      <w:bookmarkStart w:id="0" w:name="_GoBack"/>
      <w:r>
        <w:rPr>
          <w:rFonts w:hint="eastAsia" w:ascii="黑体" w:hAnsi="黑体" w:eastAsia="黑体" w:cs="黑体"/>
          <w:color w:val="auto"/>
          <w:sz w:val="32"/>
          <w:szCs w:val="32"/>
          <w:lang w:val="en-US" w:eastAsia="zh-CN"/>
        </w:rPr>
        <w:t>）</w:t>
      </w:r>
      <w:bookmarkEnd w:id="0"/>
    </w:p>
    <w:p w14:paraId="02E62EC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阴离子表面活性剂是一种混合物，主要成分是烷基苯磺酸钠，还有一些增净剂、漂白剂、荧光增白剂、抗腐蚀剂、泡沫调节剂、酶等辅助成分。GB14934-2016《食品安全国家标准 消毒餐（饮）具》 中规定阴离子合成洗涤剂为不得检出，</w:t>
      </w:r>
      <w:r>
        <w:rPr>
          <w:rFonts w:hint="eastAsia" w:ascii="仿宋_GB2312" w:hAnsi="仿宋_GB2312" w:eastAsia="仿宋_GB2312" w:cs="仿宋_GB2312"/>
          <w:color w:val="auto"/>
          <w:sz w:val="32"/>
          <w:szCs w:val="32"/>
        </w:rPr>
        <w:t>该项目不合格原因可能是企业</w:t>
      </w:r>
      <w:r>
        <w:rPr>
          <w:rFonts w:hint="eastAsia" w:ascii="仿宋_GB2312" w:hAnsi="仿宋_GB2312" w:eastAsia="仿宋_GB2312" w:cs="仿宋_GB2312"/>
          <w:color w:val="auto"/>
          <w:sz w:val="32"/>
          <w:szCs w:val="32"/>
          <w:lang w:eastAsia="zh-CN"/>
        </w:rPr>
        <w:t>洁净餐具时没有洗刷干净或者用的洗涤剂过多造成阴离子合成洗涤剂残留</w:t>
      </w:r>
      <w:r>
        <w:rPr>
          <w:rFonts w:hint="eastAsia" w:ascii="仿宋_GB2312" w:hAnsi="仿宋_GB2312" w:eastAsia="仿宋_GB2312" w:cs="仿宋_GB2312"/>
          <w:color w:val="auto"/>
          <w:sz w:val="32"/>
          <w:szCs w:val="32"/>
        </w:rPr>
        <w:t>。长期</w:t>
      </w:r>
      <w:r>
        <w:rPr>
          <w:rFonts w:hint="eastAsia" w:ascii="仿宋_GB2312" w:hAnsi="仿宋_GB2312" w:eastAsia="仿宋_GB2312" w:cs="仿宋_GB2312"/>
          <w:color w:val="auto"/>
          <w:sz w:val="32"/>
          <w:szCs w:val="32"/>
          <w:lang w:eastAsia="zh-CN"/>
        </w:rPr>
        <w:t>使用阴离子合成洗涤剂超</w:t>
      </w:r>
      <w:r>
        <w:rPr>
          <w:rFonts w:hint="eastAsia" w:ascii="仿宋_GB2312" w:hAnsi="仿宋_GB2312" w:eastAsia="仿宋_GB2312" w:cs="仿宋_GB2312"/>
          <w:color w:val="auto"/>
          <w:sz w:val="32"/>
          <w:szCs w:val="32"/>
          <w:lang w:val="en-US" w:eastAsia="zh-CN"/>
        </w:rPr>
        <w:t>标的餐具，可能会对健康造成一定影响。</w:t>
      </w:r>
    </w:p>
    <w:p w14:paraId="2D7A47C3">
      <w:pPr>
        <w:adjustRightInd w:val="0"/>
        <w:spacing w:line="594" w:lineRule="exact"/>
        <w:ind w:firstLine="592" w:firstLineChars="200"/>
        <w:rPr>
          <w:rFonts w:hint="eastAsia" w:eastAsia="黑体"/>
          <w:spacing w:val="-12"/>
          <w:sz w:val="32"/>
          <w:szCs w:val="32"/>
          <w:lang w:val="en-US" w:eastAsia="zh-CN"/>
        </w:rPr>
      </w:pPr>
      <w:r>
        <w:rPr>
          <w:rFonts w:hint="eastAsia" w:ascii="Times New Roman" w:hAnsi="Times New Roman" w:eastAsia="黑体" w:cs="Times New Roman"/>
          <w:spacing w:val="-12"/>
          <w:sz w:val="32"/>
          <w:szCs w:val="32"/>
          <w:lang w:val="en-US" w:eastAsia="zh-CN"/>
        </w:rPr>
        <w:t>二</w:t>
      </w:r>
      <w:r>
        <w:rPr>
          <w:rFonts w:hint="eastAsia" w:ascii="Times New Roman" w:hAnsi="Times New Roman" w:eastAsia="黑体" w:cs="Times New Roman"/>
          <w:spacing w:val="-12"/>
          <w:sz w:val="32"/>
          <w:szCs w:val="32"/>
        </w:rPr>
        <w:t>、</w:t>
      </w:r>
      <w:r>
        <w:rPr>
          <w:rFonts w:hint="eastAsia" w:eastAsia="黑体"/>
          <w:spacing w:val="-12"/>
          <w:sz w:val="32"/>
          <w:szCs w:val="32"/>
          <w:lang w:val="en-US" w:eastAsia="zh-CN"/>
        </w:rPr>
        <w:t>日落黄</w:t>
      </w:r>
    </w:p>
    <w:p w14:paraId="5F873E90">
      <w:pPr>
        <w:pStyle w:val="9"/>
        <w:keepNext w:val="0"/>
        <w:keepLines w:val="0"/>
        <w:pageBreakBefore w:val="0"/>
        <w:widowControl w:val="0"/>
        <w:kinsoku/>
        <w:wordWrap/>
        <w:overflowPunct/>
        <w:topLinePunct w:val="0"/>
        <w:bidi w:val="0"/>
        <w:adjustRightInd w:val="0"/>
        <w:snapToGrid/>
        <w:spacing w:after="0" w:line="594" w:lineRule="exact"/>
        <w:ind w:firstLine="592"/>
        <w:jc w:val="both"/>
        <w:textAlignment w:val="auto"/>
        <w:rPr>
          <w:rFonts w:ascii="Times New Roman" w:hAnsi="Times New Roman" w:eastAsia="仿宋_GB2312"/>
          <w:color w:val="000000"/>
          <w:spacing w:val="0"/>
          <w:sz w:val="32"/>
          <w:szCs w:val="32"/>
        </w:rPr>
      </w:pPr>
      <w:r>
        <w:rPr>
          <w:rFonts w:hint="eastAsia" w:eastAsia="仿宋_GB2312" w:cs="Times New Roman"/>
          <w:color w:val="000000"/>
          <w:sz w:val="32"/>
          <w:szCs w:val="32"/>
          <w:highlight w:val="none"/>
          <w:lang w:val="en-US" w:eastAsia="zh-CN"/>
        </w:rPr>
        <w:t>日落黄属于</w:t>
      </w:r>
      <w:r>
        <w:rPr>
          <w:rFonts w:hint="eastAsia" w:ascii="Times New Roman" w:hAnsi="Times New Roman" w:eastAsia="仿宋_GB2312" w:cs="Times New Roman"/>
          <w:color w:val="000000"/>
          <w:sz w:val="32"/>
          <w:szCs w:val="32"/>
          <w:highlight w:val="none"/>
          <w:lang w:eastAsia="zh-CN"/>
        </w:rPr>
        <w:t>水溶性</w:t>
      </w:r>
      <w:r>
        <w:rPr>
          <w:rFonts w:hint="default" w:ascii="Times New Roman" w:hAnsi="Times New Roman" w:eastAsia="仿宋_GB2312" w:cs="Times New Roman"/>
          <w:color w:val="000000"/>
          <w:sz w:val="32"/>
          <w:szCs w:val="32"/>
          <w:highlight w:val="none"/>
        </w:rPr>
        <w:t>偶氮类</w:t>
      </w:r>
      <w:r>
        <w:rPr>
          <w:rFonts w:hint="default" w:ascii="Times New Roman" w:hAnsi="Times New Roman" w:eastAsia="仿宋_GB2312" w:cs="Times New Roman"/>
          <w:color w:val="000000"/>
          <w:sz w:val="32"/>
          <w:szCs w:val="32"/>
          <w:highlight w:val="none"/>
          <w:lang w:eastAsia="zh-CN"/>
        </w:rPr>
        <w:t>化合物</w:t>
      </w:r>
      <w:r>
        <w:rPr>
          <w:rFonts w:hint="default" w:ascii="Times New Roman" w:hAnsi="Times New Roman" w:eastAsia="仿宋_GB2312" w:cs="Times New Roman"/>
          <w:color w:val="000000"/>
          <w:sz w:val="32"/>
          <w:szCs w:val="32"/>
          <w:highlight w:val="none"/>
        </w:rPr>
        <w:t>，是常见的人工合成着色剂，在食品</w:t>
      </w:r>
      <w:r>
        <w:rPr>
          <w:rFonts w:hint="default" w:ascii="Times New Roman" w:hAnsi="Times New Roman" w:eastAsia="仿宋_GB2312" w:cs="Times New Roman"/>
          <w:color w:val="000000"/>
          <w:sz w:val="32"/>
          <w:szCs w:val="32"/>
          <w:highlight w:val="none"/>
          <w:lang w:eastAsia="zh-CN"/>
        </w:rPr>
        <w:t>生产</w:t>
      </w:r>
      <w:r>
        <w:rPr>
          <w:rFonts w:hint="default" w:ascii="Times New Roman" w:hAnsi="Times New Roman" w:eastAsia="仿宋_GB2312" w:cs="Times New Roman"/>
          <w:color w:val="000000"/>
          <w:sz w:val="32"/>
          <w:szCs w:val="32"/>
          <w:highlight w:val="none"/>
        </w:rPr>
        <w:t>中应用广泛。长期摄入</w:t>
      </w:r>
      <w:r>
        <w:rPr>
          <w:rFonts w:hint="eastAsia" w:eastAsia="仿宋_GB2312" w:cs="Times New Roman"/>
          <w:color w:val="000000"/>
          <w:sz w:val="32"/>
          <w:szCs w:val="32"/>
          <w:highlight w:val="none"/>
          <w:lang w:val="en-US" w:eastAsia="zh-CN"/>
        </w:rPr>
        <w:t>日落黄</w:t>
      </w:r>
      <w:r>
        <w:rPr>
          <w:rFonts w:hint="default" w:ascii="Times New Roman" w:hAnsi="Times New Roman" w:eastAsia="仿宋_GB2312" w:cs="Times New Roman"/>
          <w:color w:val="000000"/>
          <w:sz w:val="32"/>
          <w:szCs w:val="32"/>
          <w:highlight w:val="none"/>
          <w:lang w:eastAsia="zh-CN"/>
        </w:rPr>
        <w:t>超标的食品</w:t>
      </w:r>
      <w:r>
        <w:rPr>
          <w:rFonts w:hint="default" w:ascii="Times New Roman" w:hAnsi="Times New Roman" w:eastAsia="仿宋_GB2312" w:cs="Times New Roman"/>
          <w:color w:val="000000"/>
          <w:sz w:val="32"/>
          <w:szCs w:val="32"/>
          <w:highlight w:val="none"/>
        </w:rPr>
        <w:t>，</w:t>
      </w:r>
      <w:r>
        <w:rPr>
          <w:rFonts w:hint="eastAsia" w:ascii="Times New Roman" w:hAnsi="Times New Roman" w:eastAsia="仿宋_GB2312" w:cs="Times New Roman"/>
          <w:color w:val="000000"/>
          <w:sz w:val="32"/>
          <w:szCs w:val="32"/>
          <w:highlight w:val="none"/>
          <w:lang w:eastAsia="zh-CN"/>
        </w:rPr>
        <w:t>可能危害人体健康</w:t>
      </w:r>
      <w:r>
        <w:rPr>
          <w:rFonts w:hint="default" w:ascii="Times New Roman" w:hAnsi="Times New Roman" w:eastAsia="仿宋_GB2312" w:cs="Times New Roman"/>
          <w:color w:val="000000"/>
          <w:sz w:val="32"/>
          <w:szCs w:val="32"/>
          <w:highlight w:val="none"/>
        </w:rPr>
        <w:t>。《食品安全国家标准 食品添加剂使用标准》（GB 2760</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2014）中规定，</w:t>
      </w:r>
      <w:r>
        <w:rPr>
          <w:rFonts w:hint="eastAsia" w:eastAsia="仿宋_GB2312" w:cs="Times New Roman"/>
          <w:color w:val="000000"/>
          <w:sz w:val="32"/>
          <w:szCs w:val="32"/>
          <w:highlight w:val="none"/>
          <w:lang w:val="en-US" w:eastAsia="zh-CN"/>
        </w:rPr>
        <w:t>豆干</w:t>
      </w:r>
      <w:r>
        <w:rPr>
          <w:rFonts w:hint="default" w:ascii="Times New Roman" w:hAnsi="Times New Roman" w:eastAsia="仿宋_GB2312" w:cs="Times New Roman"/>
          <w:kern w:val="2"/>
          <w:sz w:val="32"/>
          <w:szCs w:val="32"/>
          <w:highlight w:val="none"/>
          <w:lang w:val="en-US" w:eastAsia="zh-CN" w:bidi="ar-SA"/>
        </w:rPr>
        <w:t>中</w:t>
      </w:r>
      <w:r>
        <w:rPr>
          <w:rFonts w:hint="eastAsia" w:ascii="Times New Roman" w:hAnsi="Times New Roman" w:eastAsia="仿宋_GB2312" w:cs="Times New Roman"/>
          <w:kern w:val="2"/>
          <w:sz w:val="32"/>
          <w:szCs w:val="32"/>
          <w:highlight w:val="none"/>
          <w:lang w:val="en-US" w:eastAsia="zh-CN" w:bidi="ar-SA"/>
        </w:rPr>
        <w:t>不得使用日落黄，</w:t>
      </w:r>
      <w:r>
        <w:rPr>
          <w:rFonts w:hint="eastAsia" w:ascii="Times New Roman" w:hAnsi="Times New Roman" w:eastAsia="仿宋_GB2312" w:cs="Times New Roman"/>
          <w:sz w:val="32"/>
          <w:szCs w:val="32"/>
          <w:highlight w:val="none"/>
          <w:lang w:val="en-US" w:eastAsia="zh-CN"/>
        </w:rPr>
        <w:t>饼干夹心</w:t>
      </w:r>
      <w:r>
        <w:rPr>
          <w:rFonts w:ascii="Times New Roman" w:hAnsi="Times New Roman" w:eastAsia="仿宋_GB2312" w:cs="Times New Roman"/>
          <w:sz w:val="32"/>
          <w:szCs w:val="32"/>
          <w:highlight w:val="none"/>
          <w:lang w:val="en-US" w:eastAsia="zh-CN"/>
        </w:rPr>
        <w:t>中</w:t>
      </w:r>
      <w:r>
        <w:rPr>
          <w:rFonts w:hint="eastAsia" w:ascii="Times New Roman" w:hAnsi="Times New Roman" w:eastAsia="仿宋_GB2312" w:cs="Times New Roman"/>
          <w:sz w:val="32"/>
          <w:szCs w:val="32"/>
          <w:highlight w:val="none"/>
          <w:lang w:val="en-US" w:eastAsia="zh-CN"/>
        </w:rPr>
        <w:t>日落黄</w:t>
      </w:r>
      <w:r>
        <w:rPr>
          <w:rFonts w:ascii="Times New Roman" w:hAnsi="Times New Roman" w:eastAsia="仿宋_GB2312" w:cs="Times New Roman"/>
          <w:sz w:val="32"/>
          <w:szCs w:val="32"/>
          <w:highlight w:val="none"/>
          <w:lang w:val="en-US" w:eastAsia="zh-CN"/>
        </w:rPr>
        <w:t>的最大限量值为</w:t>
      </w:r>
      <w:r>
        <w:rPr>
          <w:rFonts w:hint="eastAsia" w:ascii="Times New Roman" w:hAnsi="Times New Roman" w:eastAsia="仿宋_GB2312" w:cs="Times New Roman"/>
          <w:sz w:val="32"/>
          <w:szCs w:val="32"/>
          <w:highlight w:val="none"/>
          <w:lang w:val="en-US" w:eastAsia="zh-CN"/>
        </w:rPr>
        <w:t>0.1</w:t>
      </w:r>
      <w:r>
        <w:rPr>
          <w:rFonts w:ascii="Times New Roman" w:hAnsi="Times New Roman" w:eastAsia="仿宋_GB2312" w:cs="Times New Roman"/>
          <w:sz w:val="32"/>
          <w:szCs w:val="32"/>
          <w:highlight w:val="none"/>
          <w:lang w:val="en-US" w:eastAsia="zh-CN"/>
        </w:rPr>
        <w:t>g</w:t>
      </w:r>
      <w:r>
        <w:rPr>
          <w:rFonts w:hint="eastAsia" w:ascii="Times New Roman" w:hAnsi="Times New Roman" w:eastAsia="仿宋_GB2312" w:cs="Times New Roman"/>
          <w:sz w:val="32"/>
          <w:szCs w:val="32"/>
          <w:highlight w:val="none"/>
          <w:lang w:val="en-US" w:eastAsia="zh-CN"/>
        </w:rPr>
        <w:t>/kg</w:t>
      </w:r>
      <w:r>
        <w:rPr>
          <w:rFonts w:hint="default" w:ascii="Times New Roman" w:hAnsi="Times New Roman" w:eastAsia="仿宋_GB2312" w:cs="Times New Roman"/>
          <w:color w:val="000000"/>
          <w:sz w:val="32"/>
          <w:szCs w:val="32"/>
          <w:highlight w:val="none"/>
        </w:rPr>
        <w:t>。</w:t>
      </w:r>
      <w:r>
        <w:rPr>
          <w:rFonts w:hint="eastAsia" w:eastAsia="仿宋_GB2312" w:cs="Times New Roman"/>
          <w:color w:val="000000"/>
          <w:sz w:val="32"/>
          <w:szCs w:val="32"/>
          <w:highlight w:val="none"/>
          <w:lang w:val="en-US" w:eastAsia="zh-CN"/>
        </w:rPr>
        <w:t>豆干、</w:t>
      </w:r>
      <w:r>
        <w:rPr>
          <w:rFonts w:hint="eastAsia" w:ascii="Times New Roman" w:hAnsi="Times New Roman" w:eastAsia="仿宋_GB2312" w:cs="Times New Roman"/>
          <w:kern w:val="2"/>
          <w:sz w:val="32"/>
          <w:szCs w:val="32"/>
          <w:lang w:val="en-US" w:eastAsia="zh-CN" w:bidi="ar-SA"/>
        </w:rPr>
        <w:t>饼干夹心</w:t>
      </w:r>
      <w:r>
        <w:rPr>
          <w:rFonts w:hint="default" w:ascii="Times New Roman" w:hAnsi="Times New Roman" w:eastAsia="仿宋_GB2312" w:cs="Times New Roman"/>
          <w:color w:val="000000"/>
          <w:sz w:val="32"/>
          <w:szCs w:val="32"/>
          <w:highlight w:val="none"/>
        </w:rPr>
        <w:t>中</w:t>
      </w:r>
      <w:r>
        <w:rPr>
          <w:rFonts w:hint="eastAsia" w:eastAsia="仿宋_GB2312" w:cs="Times New Roman"/>
          <w:color w:val="000000"/>
          <w:sz w:val="32"/>
          <w:szCs w:val="32"/>
          <w:highlight w:val="none"/>
          <w:lang w:val="en-US" w:eastAsia="zh-CN"/>
        </w:rPr>
        <w:t>日落黄检验值超标</w:t>
      </w:r>
      <w:r>
        <w:rPr>
          <w:rFonts w:hint="eastAsia" w:ascii="Times New Roman" w:hAnsi="Times New Roman" w:eastAsia="仿宋_GB2312" w:cs="Times New Roman"/>
          <w:sz w:val="32"/>
          <w:szCs w:val="32"/>
          <w:highlight w:val="none"/>
          <w:lang w:val="en-US" w:eastAsia="zh-CN"/>
        </w:rPr>
        <w:t>的</w:t>
      </w:r>
      <w:r>
        <w:rPr>
          <w:rFonts w:hint="default" w:ascii="Times New Roman" w:hAnsi="Times New Roman" w:eastAsia="仿宋_GB2312" w:cs="Times New Roman"/>
          <w:color w:val="000000"/>
          <w:spacing w:val="0"/>
          <w:sz w:val="32"/>
          <w:szCs w:val="32"/>
          <w:highlight w:val="none"/>
          <w:lang w:eastAsia="zh-CN"/>
        </w:rPr>
        <w:t>原因</w:t>
      </w:r>
      <w:r>
        <w:rPr>
          <w:rFonts w:hint="eastAsia" w:ascii="Times New Roman" w:hAnsi="Times New Roman" w:eastAsia="仿宋_GB2312" w:cs="Times New Roman"/>
          <w:color w:val="000000"/>
          <w:spacing w:val="0"/>
          <w:sz w:val="32"/>
          <w:szCs w:val="32"/>
          <w:highlight w:val="none"/>
          <w:lang w:eastAsia="zh-CN"/>
        </w:rPr>
        <w:t>，</w:t>
      </w:r>
      <w:r>
        <w:rPr>
          <w:rFonts w:ascii="Times New Roman" w:hAnsi="Times New Roman" w:eastAsia="仿宋_GB2312"/>
          <w:color w:val="000000"/>
          <w:spacing w:val="0"/>
          <w:sz w:val="32"/>
          <w:szCs w:val="32"/>
        </w:rPr>
        <w:t>可能是生产企业为改善产品色泽而</w:t>
      </w:r>
      <w:r>
        <w:rPr>
          <w:rFonts w:hint="eastAsia" w:ascii="Times New Roman" w:hAnsi="Times New Roman" w:eastAsia="仿宋_GB2312"/>
          <w:color w:val="000000"/>
          <w:spacing w:val="0"/>
          <w:sz w:val="32"/>
          <w:szCs w:val="32"/>
        </w:rPr>
        <w:t>超范围</w:t>
      </w:r>
      <w:r>
        <w:rPr>
          <w:rFonts w:hint="eastAsia" w:ascii="Times New Roman" w:hAnsi="Times New Roman" w:eastAsia="仿宋_GB2312"/>
          <w:color w:val="000000"/>
          <w:spacing w:val="0"/>
          <w:sz w:val="32"/>
          <w:szCs w:val="32"/>
          <w:lang w:val="en-US" w:eastAsia="zh-CN"/>
        </w:rPr>
        <w:t>超限量</w:t>
      </w:r>
      <w:r>
        <w:rPr>
          <w:rFonts w:ascii="Times New Roman" w:hAnsi="Times New Roman" w:eastAsia="仿宋_GB2312"/>
          <w:color w:val="000000"/>
          <w:spacing w:val="0"/>
          <w:sz w:val="32"/>
          <w:szCs w:val="32"/>
        </w:rPr>
        <w:t>使用。</w:t>
      </w:r>
    </w:p>
    <w:p w14:paraId="7B901BD3">
      <w:pPr>
        <w:pStyle w:val="9"/>
        <w:keepNext w:val="0"/>
        <w:keepLines w:val="0"/>
        <w:pageBreakBefore w:val="0"/>
        <w:widowControl w:val="0"/>
        <w:numPr>
          <w:ilvl w:val="0"/>
          <w:numId w:val="0"/>
        </w:numPr>
        <w:kinsoku/>
        <w:wordWrap/>
        <w:overflowPunct/>
        <w:topLinePunct w:val="0"/>
        <w:autoSpaceDE/>
        <w:autoSpaceDN/>
        <w:bidi w:val="0"/>
        <w:adjustRightInd w:val="0"/>
        <w:snapToGrid/>
        <w:spacing w:after="0" w:line="594" w:lineRule="exact"/>
        <w:ind w:firstLine="640" w:firstLineChars="200"/>
        <w:jc w:val="both"/>
        <w:textAlignment w:val="auto"/>
        <w:rPr>
          <w:rFonts w:hint="eastAsia" w:ascii="黑体" w:hAnsi="黑体" w:eastAsia="黑体" w:cs="黑体"/>
          <w:szCs w:val="32"/>
          <w:highlight w:val="none"/>
          <w:lang w:eastAsia="zh-CN"/>
        </w:rPr>
      </w:pPr>
      <w:r>
        <w:rPr>
          <w:rFonts w:hint="eastAsia" w:ascii="黑体" w:hAnsi="黑体" w:eastAsia="黑体" w:cs="黑体"/>
          <w:szCs w:val="32"/>
          <w:highlight w:val="none"/>
          <w:lang w:val="en-US" w:eastAsia="zh-CN"/>
        </w:rPr>
        <w:t>三、</w:t>
      </w:r>
      <w:r>
        <w:rPr>
          <w:rFonts w:hint="eastAsia" w:ascii="黑体" w:hAnsi="黑体" w:eastAsia="黑体" w:cs="黑体"/>
          <w:szCs w:val="32"/>
          <w:highlight w:val="none"/>
          <w:lang w:eastAsia="zh-CN"/>
        </w:rPr>
        <w:t>过氧化值（以脂肪计）</w:t>
      </w:r>
    </w:p>
    <w:p w14:paraId="426F1BDF">
      <w:pPr>
        <w:pStyle w:val="9"/>
        <w:spacing w:after="0" w:line="594" w:lineRule="exact"/>
        <w:ind w:firstLine="592"/>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lang w:val="en-US" w:eastAsia="zh-CN"/>
        </w:rPr>
        <w:t>过氧化值是油脂酸败的早期指标，主要反映油脂被氧化的程度。食用过氧化值超标的食品一般不会对人体健康造成损害，但长期食用过氧化值严重超标的食品可能导致肠胃不适、腹泻等。</w:t>
      </w:r>
      <w:r>
        <w:rPr>
          <w:rFonts w:ascii="Times New Roman" w:hAnsi="Times New Roman" w:eastAsia="仿宋_GB2312" w:cs="Times New Roman"/>
          <w:sz w:val="32"/>
          <w:szCs w:val="32"/>
        </w:rPr>
        <w:t>《食品安全国家标准 坚果与籽类食品》（GB 19300</w:t>
      </w:r>
      <w:r>
        <w:rPr>
          <w:rFonts w:hint="eastAsia" w:ascii="仿宋_GB2312" w:hAnsi="Times New Roman" w:eastAsia="仿宋_GB2312" w:cs="Times New Roman"/>
          <w:sz w:val="32"/>
          <w:szCs w:val="32"/>
        </w:rPr>
        <w:t>—</w:t>
      </w:r>
      <w:r>
        <w:rPr>
          <w:rFonts w:ascii="Times New Roman" w:hAnsi="Times New Roman" w:eastAsia="仿宋_GB2312" w:cs="Times New Roman"/>
          <w:sz w:val="32"/>
          <w:szCs w:val="32"/>
        </w:rPr>
        <w:t>2014）中规定，</w:t>
      </w:r>
      <w:r>
        <w:rPr>
          <w:rFonts w:hint="eastAsia" w:ascii="Times New Roman" w:hAnsi="Times New Roman" w:eastAsia="仿宋_GB2312" w:cs="Times New Roman"/>
          <w:color w:val="auto"/>
          <w:sz w:val="32"/>
          <w:szCs w:val="32"/>
          <w:highlight w:val="none"/>
          <w:lang w:val="en-US" w:eastAsia="zh-CN"/>
        </w:rPr>
        <w:t>熟制花生中</w:t>
      </w:r>
      <w:r>
        <w:rPr>
          <w:rFonts w:ascii="Times New Roman" w:hAnsi="Times New Roman" w:eastAsia="仿宋_GB2312" w:cs="Times New Roman"/>
          <w:sz w:val="32"/>
          <w:szCs w:val="32"/>
        </w:rPr>
        <w:t>过氧化值（以脂肪计）的最大限量值为0.</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0g/100</w:t>
      </w:r>
      <w:r>
        <w:rPr>
          <w:rFonts w:ascii="Times New Roman" w:hAnsi="Times New Roman" w:eastAsia="仿宋_GB2312"/>
          <w:sz w:val="32"/>
          <w:szCs w:val="32"/>
        </w:rPr>
        <w:t>g</w:t>
      </w:r>
      <w:r>
        <w:rPr>
          <w:rFonts w:hint="eastAsia" w:ascii="Times New Roman" w:hAnsi="Times New Roman" w:eastAsia="仿宋_GB2312"/>
          <w:sz w:val="32"/>
          <w:szCs w:val="32"/>
          <w:lang w:eastAsia="zh-CN"/>
        </w:rPr>
        <w:t>。</w:t>
      </w:r>
      <w:r>
        <w:rPr>
          <w:rFonts w:hint="eastAsia" w:ascii="Times New Roman" w:hAnsi="Times New Roman" w:eastAsia="仿宋_GB2312" w:cs="Times New Roman"/>
          <w:color w:val="auto"/>
          <w:sz w:val="32"/>
          <w:szCs w:val="32"/>
          <w:highlight w:val="none"/>
          <w:lang w:val="en-US" w:eastAsia="zh-CN"/>
        </w:rPr>
        <w:t>熟制坚果与籽类食品</w:t>
      </w:r>
      <w:r>
        <w:rPr>
          <w:rFonts w:hint="default" w:ascii="Times New Roman" w:hAnsi="Times New Roman" w:eastAsia="仿宋_GB2312" w:cs="Times New Roman"/>
          <w:color w:val="auto"/>
          <w:sz w:val="32"/>
          <w:szCs w:val="32"/>
          <w:lang w:val="en-US" w:eastAsia="zh-CN"/>
        </w:rPr>
        <w:t>中过氧化值（以脂肪计）检验值超标的原因，可能是原料中的脂肪已经被氧化；也可能与产品在储运过程中环境条件控制不当等有关。</w:t>
      </w:r>
    </w:p>
    <w:p w14:paraId="4687D5A9">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right="0" w:rightChars="0" w:firstLine="640" w:firstLineChars="200"/>
        <w:jc w:val="both"/>
        <w:textAlignment w:val="auto"/>
        <w:rPr>
          <w:rFonts w:hint="default" w:ascii="Times New Roman" w:hAnsi="Times New Roman" w:eastAsia="方正黑体_GBK" w:cs="Times New Roman"/>
          <w:color w:val="000000"/>
          <w:sz w:val="32"/>
          <w:szCs w:val="32"/>
          <w:highlight w:val="none"/>
          <w:lang w:eastAsia="zh-CN"/>
        </w:rPr>
      </w:pPr>
      <w:r>
        <w:rPr>
          <w:rFonts w:hint="eastAsia" w:ascii="Times New Roman" w:hAnsi="Times New Roman" w:eastAsia="方正黑体_GBK" w:cs="Times New Roman"/>
          <w:color w:val="000000"/>
          <w:sz w:val="32"/>
          <w:szCs w:val="32"/>
          <w:highlight w:val="none"/>
          <w:lang w:val="en-US" w:eastAsia="zh-CN"/>
        </w:rPr>
        <w:t>四、</w:t>
      </w:r>
      <w:r>
        <w:rPr>
          <w:rFonts w:hint="default" w:ascii="Times New Roman" w:hAnsi="Times New Roman" w:eastAsia="方正黑体_GBK" w:cs="Times New Roman"/>
          <w:color w:val="000000"/>
          <w:sz w:val="32"/>
          <w:szCs w:val="32"/>
          <w:highlight w:val="none"/>
          <w:lang w:val="en-US" w:eastAsia="zh-CN"/>
        </w:rPr>
        <w:t>苯并[a]芘</w:t>
      </w:r>
    </w:p>
    <w:p w14:paraId="2AB92FF5">
      <w:pPr>
        <w:pStyle w:val="9"/>
        <w:adjustRightInd w:val="0"/>
        <w:spacing w:after="0" w:line="594" w:lineRule="exact"/>
        <w:ind w:firstLine="592"/>
        <w:rPr>
          <w:rFonts w:hint="default" w:ascii="Times New Roman" w:hAnsi="Times New Roman" w:eastAsia="仿宋_GB2312" w:cs="Times New Roman"/>
          <w:kern w:val="0"/>
          <w:sz w:val="32"/>
          <w:szCs w:val="32"/>
        </w:rPr>
      </w:pPr>
      <w:r>
        <w:rPr>
          <w:rFonts w:hint="default" w:ascii="Times New Roman" w:hAnsi="Times New Roman" w:eastAsia="仿宋_GB2312" w:cs="Times New Roman"/>
          <w:color w:val="auto"/>
          <w:sz w:val="32"/>
          <w:szCs w:val="32"/>
          <w:highlight w:val="none"/>
          <w:lang w:val="en-US" w:eastAsia="zh-CN"/>
        </w:rPr>
        <w:t>苯并</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a</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芘是持久性有机污染物多环芳烃化合物的一种，化学性质较稳定，可能对人体健康产生潜在的不良影响。《食品安全国家标准 食品中污染物限量》（GB 2762</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2022）中规定，熏、烧、烤肉类中苯并</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a</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芘的最大限量值为5.0μg/kg。熏烧烤肉类（自制）中苯并</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a</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芘检验值超标的原因，可能是加工过程中反复烘烤或蒸炒时，高温导致苯并[a]芘含量上升。</w:t>
      </w:r>
    </w:p>
    <w:p w14:paraId="0ED644E5">
      <w:pPr>
        <w:pStyle w:val="9"/>
        <w:keepNext w:val="0"/>
        <w:keepLines w:val="0"/>
        <w:pageBreakBefore w:val="0"/>
        <w:widowControl w:val="0"/>
        <w:kinsoku/>
        <w:wordWrap/>
        <w:overflowPunct/>
        <w:topLinePunct w:val="0"/>
        <w:bidi w:val="0"/>
        <w:adjustRightInd w:val="0"/>
        <w:snapToGrid/>
        <w:spacing w:after="0" w:line="594" w:lineRule="exact"/>
        <w:ind w:firstLine="592"/>
        <w:jc w:val="both"/>
        <w:textAlignment w:val="auto"/>
        <w:rPr>
          <w:rFonts w:hint="default" w:ascii="Times New Roman" w:hAnsi="Times New Roman" w:eastAsia="仿宋_GB2312"/>
          <w:color w:val="000000"/>
          <w:spacing w:val="0"/>
          <w:sz w:val="32"/>
          <w:szCs w:val="32"/>
          <w:lang w:val="en-US" w:eastAsia="zh-CN"/>
        </w:rPr>
      </w:pPr>
    </w:p>
    <w:p w14:paraId="64949E49">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000000"/>
          <w:kern w:val="2"/>
          <w:sz w:val="32"/>
          <w:szCs w:val="32"/>
          <w:lang w:val="en-US" w:eastAsia="zh-CN" w:bidi="ar-SA"/>
        </w:rPr>
      </w:pPr>
    </w:p>
    <w:sectPr>
      <w:footerReference r:id="rId3" w:type="default"/>
      <w:footerReference r:id="rId4" w:type="even"/>
      <w:pgSz w:w="11906" w:h="16838"/>
      <w:pgMar w:top="1701" w:right="1474"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CESI仿宋-GB18030">
    <w:panose1 w:val="02000500000000000000"/>
    <w:charset w:val="86"/>
    <w:family w:val="auto"/>
    <w:pitch w:val="default"/>
    <w:sig w:usb0="A00002BF" w:usb1="38C7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611CD">
    <w:pPr>
      <w:pStyle w:val="5"/>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78435" cy="20447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78435" cy="204470"/>
                      </a:xfrm>
                      <a:prstGeom prst="rect">
                        <a:avLst/>
                      </a:prstGeom>
                      <a:noFill/>
                      <a:ln w="9525">
                        <a:noFill/>
                      </a:ln>
                      <a:effectLst/>
                    </wps:spPr>
                    <wps:txbx>
                      <w:txbxContent>
                        <w:p w14:paraId="21251C21">
                          <w:pPr>
                            <w:pStyle w:val="5"/>
                            <w:rPr>
                              <w:sz w:val="28"/>
                              <w:szCs w:val="28"/>
                            </w:rPr>
                          </w:pPr>
                          <w:r>
                            <w:rPr>
                              <w:sz w:val="28"/>
                              <w:szCs w:val="28"/>
                            </w:rPr>
                            <w:fldChar w:fldCharType="begin"/>
                          </w:r>
                          <w:r>
                            <w:rPr>
                              <w:sz w:val="28"/>
                              <w:szCs w:val="28"/>
                            </w:rPr>
                            <w:instrText xml:space="preserve">PAGE  </w:instrText>
                          </w:r>
                          <w:r>
                            <w:rPr>
                              <w:sz w:val="28"/>
                              <w:szCs w:val="28"/>
                            </w:rPr>
                            <w:fldChar w:fldCharType="separate"/>
                          </w:r>
                          <w:r>
                            <w:rPr>
                              <w:sz w:val="28"/>
                              <w:szCs w:val="28"/>
                            </w:rPr>
                            <w:t>1</w:t>
                          </w:r>
                          <w:r>
                            <w:rPr>
                              <w:sz w:val="28"/>
                              <w:szCs w:val="28"/>
                            </w:rP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6.1pt;width:14.05pt;mso-position-horizontal:outside;mso-position-horizontal-relative:margin;mso-wrap-style:none;z-index:251659264;mso-width-relative:page;mso-height-relative:page;" filled="f" stroked="f" coordsize="21600,21600" o:gfxdata="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h/boh9EAAAADAQAADwAAAAAAAAAB&#10;ACAAAAAiAAAAZHJzL2Rvd25yZXYueG1sUEsBAhQAFAAAAAgAh07iQF1Db8/eAQAArgMAAA4AAAAA&#10;AAAAAQAgAAAAIAEAAGRycy9lMm9Eb2MueG1sUEsFBgAAAAAGAAYAWQEAAHAFAAAAAA==&#10;">
              <v:fill on="f" focussize="0,0"/>
              <v:stroke on="f"/>
              <v:imagedata o:title=""/>
              <o:lock v:ext="edit" aspectratio="f"/>
              <v:textbox inset="0mm,0mm,0mm,0mm" style="mso-fit-shape-to-text:t;">
                <w:txbxContent>
                  <w:p w14:paraId="21251C21">
                    <w:pPr>
                      <w:pStyle w:val="5"/>
                      <w:rPr>
                        <w:sz w:val="28"/>
                        <w:szCs w:val="28"/>
                      </w:rPr>
                    </w:pPr>
                    <w:r>
                      <w:rPr>
                        <w:sz w:val="28"/>
                        <w:szCs w:val="28"/>
                      </w:rPr>
                      <w:fldChar w:fldCharType="begin"/>
                    </w:r>
                    <w:r>
                      <w:rPr>
                        <w:sz w:val="28"/>
                        <w:szCs w:val="28"/>
                      </w:rPr>
                      <w:instrText xml:space="preserve">PAGE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955EAC">
    <w:pPr>
      <w:pStyle w:val="5"/>
      <w:ind w:right="360" w:firstLine="360"/>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7FC916E0">
                          <w:pPr>
                            <w:pStyle w:val="5"/>
                          </w:pPr>
                          <w:r>
                            <w:fldChar w:fldCharType="begin"/>
                          </w:r>
                          <w:r>
                            <w:instrText xml:space="preserve">PAGE  </w:instrText>
                          </w:r>
                          <w:r>
                            <w:fldChar w:fldCharType="separate"/>
                          </w:r>
                          <w:r>
                            <w:t>44</w:t>
                          </w:r>
                          <w:r>
                            <w:fldChar w:fldCharType="end"/>
                          </w:r>
                        </w:p>
                      </w:txbxContent>
                    </wps:txbx>
                    <wps:bodyPr wrap="none" lIns="0" tIns="0" rIns="0" bIns="0" upright="1">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AihtBdYBAACwAwAADgAAAAAAAAABACAAAAAe&#10;AQAAZHJzL2Uyb0RvYy54bWxQSwUGAAAAAAYABgBZAQAAZgUAAAAA&#10;">
              <v:fill on="f" focussize="0,0"/>
              <v:stroke on="f"/>
              <v:imagedata o:title=""/>
              <o:lock v:ext="edit" aspectratio="f"/>
              <v:textbox inset="0mm,0mm,0mm,0mm" style="mso-fit-shape-to-text:t;">
                <w:txbxContent>
                  <w:p w14:paraId="7FC916E0">
                    <w:pPr>
                      <w:pStyle w:val="5"/>
                    </w:pPr>
                    <w:r>
                      <w:fldChar w:fldCharType="begin"/>
                    </w:r>
                    <w:r>
                      <w:instrText xml:space="preserve">PAGE  </w:instrText>
                    </w:r>
                    <w:r>
                      <w:fldChar w:fldCharType="separate"/>
                    </w:r>
                    <w:r>
                      <w:t>44</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hNDZiNTQ5NmQwNDRjYzZhOThkNWVjM2E1YmU3ZWUifQ=="/>
  </w:docVars>
  <w:rsids>
    <w:rsidRoot w:val="50251217"/>
    <w:rsid w:val="00040776"/>
    <w:rsid w:val="00042EA7"/>
    <w:rsid w:val="0009330C"/>
    <w:rsid w:val="0011353F"/>
    <w:rsid w:val="00127150"/>
    <w:rsid w:val="001352BE"/>
    <w:rsid w:val="001F52DC"/>
    <w:rsid w:val="002B7887"/>
    <w:rsid w:val="00321789"/>
    <w:rsid w:val="00327623"/>
    <w:rsid w:val="00341E60"/>
    <w:rsid w:val="003F4D36"/>
    <w:rsid w:val="00430FFD"/>
    <w:rsid w:val="00490FD6"/>
    <w:rsid w:val="004E1986"/>
    <w:rsid w:val="00506A47"/>
    <w:rsid w:val="00513A65"/>
    <w:rsid w:val="005768A0"/>
    <w:rsid w:val="005D762B"/>
    <w:rsid w:val="006322FE"/>
    <w:rsid w:val="00663058"/>
    <w:rsid w:val="007B237E"/>
    <w:rsid w:val="008062F2"/>
    <w:rsid w:val="008424C2"/>
    <w:rsid w:val="009B384C"/>
    <w:rsid w:val="00AD08B1"/>
    <w:rsid w:val="00B50969"/>
    <w:rsid w:val="00BD6BFC"/>
    <w:rsid w:val="00C51761"/>
    <w:rsid w:val="00CB02DB"/>
    <w:rsid w:val="00CB3024"/>
    <w:rsid w:val="00CC5FF8"/>
    <w:rsid w:val="00CD5A92"/>
    <w:rsid w:val="00D07BD1"/>
    <w:rsid w:val="00D922FA"/>
    <w:rsid w:val="00DF1AD7"/>
    <w:rsid w:val="00DF6AA7"/>
    <w:rsid w:val="00F7580B"/>
    <w:rsid w:val="00F86406"/>
    <w:rsid w:val="00FD6984"/>
    <w:rsid w:val="02F241BE"/>
    <w:rsid w:val="070B5BE8"/>
    <w:rsid w:val="077E1593"/>
    <w:rsid w:val="0F7E3BD5"/>
    <w:rsid w:val="136A099C"/>
    <w:rsid w:val="16EF4AC1"/>
    <w:rsid w:val="19791FAC"/>
    <w:rsid w:val="1C605AF7"/>
    <w:rsid w:val="1C7323BF"/>
    <w:rsid w:val="1D1364AB"/>
    <w:rsid w:val="1D435A2B"/>
    <w:rsid w:val="1F9FAECD"/>
    <w:rsid w:val="20132BAC"/>
    <w:rsid w:val="20590CC0"/>
    <w:rsid w:val="20967991"/>
    <w:rsid w:val="212C4B06"/>
    <w:rsid w:val="25347E29"/>
    <w:rsid w:val="2F223112"/>
    <w:rsid w:val="303D73F1"/>
    <w:rsid w:val="32943976"/>
    <w:rsid w:val="35B410F2"/>
    <w:rsid w:val="3D437B38"/>
    <w:rsid w:val="3F116319"/>
    <w:rsid w:val="43D309EF"/>
    <w:rsid w:val="44CA67CA"/>
    <w:rsid w:val="462248C7"/>
    <w:rsid w:val="48284A9B"/>
    <w:rsid w:val="48D17AF5"/>
    <w:rsid w:val="496E39C3"/>
    <w:rsid w:val="4CA14D3B"/>
    <w:rsid w:val="4CFE58D4"/>
    <w:rsid w:val="50251217"/>
    <w:rsid w:val="504371AE"/>
    <w:rsid w:val="50C81A03"/>
    <w:rsid w:val="544C6C2B"/>
    <w:rsid w:val="5AD36B10"/>
    <w:rsid w:val="5D6D55FB"/>
    <w:rsid w:val="5E466CA1"/>
    <w:rsid w:val="60A045C4"/>
    <w:rsid w:val="62847247"/>
    <w:rsid w:val="65E43AE0"/>
    <w:rsid w:val="663C637F"/>
    <w:rsid w:val="671A272D"/>
    <w:rsid w:val="67BC540F"/>
    <w:rsid w:val="689E0973"/>
    <w:rsid w:val="69F75AD9"/>
    <w:rsid w:val="71DD22F7"/>
    <w:rsid w:val="71F5C320"/>
    <w:rsid w:val="722107D7"/>
    <w:rsid w:val="72C00ECF"/>
    <w:rsid w:val="74085358"/>
    <w:rsid w:val="77C47AB5"/>
    <w:rsid w:val="78F053E4"/>
    <w:rsid w:val="7D8F6D5C"/>
    <w:rsid w:val="7D9A404F"/>
    <w:rsid w:val="7E906943"/>
    <w:rsid w:val="7EB47D23"/>
    <w:rsid w:val="D7DF838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heme="minorEastAsia" w:cstheme="minorBidi"/>
      <w:kern w:val="2"/>
      <w:sz w:val="21"/>
      <w:szCs w:val="21"/>
      <w:lang w:val="en-US" w:eastAsia="zh-CN" w:bidi="ar-SA"/>
    </w:rPr>
  </w:style>
  <w:style w:type="character" w:default="1" w:styleId="11">
    <w:name w:val="Default Paragraph Font"/>
    <w:autoRedefine/>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semiHidden/>
    <w:unhideWhenUsed/>
    <w:qFormat/>
    <w:uiPriority w:val="99"/>
    <w:pPr>
      <w:ind w:firstLine="420" w:firstLineChars="200"/>
    </w:pPr>
  </w:style>
  <w:style w:type="paragraph" w:styleId="3">
    <w:name w:val="Body Text"/>
    <w:basedOn w:val="1"/>
    <w:autoRedefine/>
    <w:qFormat/>
    <w:uiPriority w:val="0"/>
  </w:style>
  <w:style w:type="paragraph" w:styleId="4">
    <w:name w:val="Body Text Indent"/>
    <w:basedOn w:val="1"/>
    <w:unhideWhenUsed/>
    <w:qFormat/>
    <w:uiPriority w:val="99"/>
    <w:pPr>
      <w:spacing w:after="120"/>
      <w:ind w:left="420" w:leftChars="200"/>
    </w:p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link w:val="15"/>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HTML Preformatted"/>
    <w:basedOn w:val="1"/>
    <w:link w:val="17"/>
    <w:autoRedefine/>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left"/>
    </w:pPr>
    <w:rPr>
      <w:rFonts w:ascii="微软雅黑" w:hAnsi="微软雅黑" w:eastAsia="微软雅黑" w:cs="宋体"/>
      <w:kern w:val="0"/>
      <w:sz w:val="24"/>
      <w:szCs w:val="24"/>
    </w:rPr>
  </w:style>
  <w:style w:type="paragraph" w:styleId="8">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Body Text First Indent 2"/>
    <w:basedOn w:val="4"/>
    <w:next w:val="1"/>
    <w:qFormat/>
    <w:uiPriority w:val="0"/>
    <w:pPr>
      <w:adjustRightInd w:val="0"/>
      <w:ind w:left="0" w:leftChars="0" w:firstLine="880" w:firstLineChars="200"/>
    </w:pPr>
    <w:rPr>
      <w:rFonts w:ascii="Calibri" w:hAnsi="Calibri" w:eastAsia="仿宋" w:cs="Times New Roman"/>
      <w:sz w:val="32"/>
    </w:rPr>
  </w:style>
  <w:style w:type="character" w:styleId="12">
    <w:name w:val="Strong"/>
    <w:basedOn w:val="11"/>
    <w:qFormat/>
    <w:uiPriority w:val="0"/>
    <w:rPr>
      <w:b/>
    </w:rPr>
  </w:style>
  <w:style w:type="character" w:styleId="13">
    <w:name w:val="Emphasis"/>
    <w:basedOn w:val="11"/>
    <w:qFormat/>
    <w:uiPriority w:val="0"/>
    <w:rPr>
      <w:i/>
    </w:rPr>
  </w:style>
  <w:style w:type="character" w:styleId="14">
    <w:name w:val="Hyperlink"/>
    <w:basedOn w:val="11"/>
    <w:unhideWhenUsed/>
    <w:qFormat/>
    <w:uiPriority w:val="99"/>
    <w:rPr>
      <w:color w:val="656565"/>
      <w:u w:val="none"/>
    </w:rPr>
  </w:style>
  <w:style w:type="character" w:customStyle="1" w:styleId="15">
    <w:name w:val="页眉 Char"/>
    <w:basedOn w:val="11"/>
    <w:link w:val="6"/>
    <w:autoRedefine/>
    <w:qFormat/>
    <w:uiPriority w:val="0"/>
    <w:rPr>
      <w:rFonts w:ascii="Times New Roman" w:hAnsi="Times New Roman"/>
      <w:kern w:val="2"/>
      <w:sz w:val="18"/>
      <w:szCs w:val="18"/>
    </w:rPr>
  </w:style>
  <w:style w:type="paragraph" w:styleId="16">
    <w:name w:val="List Paragraph"/>
    <w:basedOn w:val="1"/>
    <w:unhideWhenUsed/>
    <w:qFormat/>
    <w:uiPriority w:val="99"/>
    <w:pPr>
      <w:ind w:firstLine="420" w:firstLineChars="200"/>
    </w:pPr>
  </w:style>
  <w:style w:type="character" w:customStyle="1" w:styleId="17">
    <w:name w:val="HTML 预设格式 Char"/>
    <w:basedOn w:val="11"/>
    <w:link w:val="7"/>
    <w:qFormat/>
    <w:uiPriority w:val="99"/>
    <w:rPr>
      <w:rFonts w:ascii="微软雅黑" w:hAnsi="微软雅黑" w:eastAsia="微软雅黑" w:cs="宋体"/>
      <w:sz w:val="24"/>
      <w:szCs w:val="24"/>
    </w:rPr>
  </w:style>
  <w:style w:type="paragraph" w:customStyle="1" w:styleId="18">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ce5f984f-715e-4186-9b72-deeffd79cb12</errorID>
      <errorWord>(</errorWord>
      <group>L1_Format</group>
      <groupName>格式问题</groupName>
      <ability>L2_HalfPunc_CN</ability>
      <abilityName>全半角问题</abilityName>
      <candidateList>
        <item>（</item>
      </candidateList>
      <explain>文本全半角错误。</explain>
      <paraID>15484D8F</paraID>
      <start>10</start>
      <end>11</end>
      <status>modified</status>
      <modifiedWord>（</modifiedWord>
      <trackRevisions>false</trackRevisions>
    </reviewItem>
    <reviewItem>
      <errorID>265e878c-d10d-465a-bda2-d8d8344415f4</errorID>
      <errorWord>)</errorWord>
      <group>L1_Format</group>
      <groupName>格式问题</groupName>
      <ability>L2_HalfPunc_CN</ability>
      <abilityName>全半角问题</abilityName>
      <candidateList>
        <item>）</item>
      </candidateList>
      <explain>文本全半角错误。</explain>
      <paraID>15484D8F</paraID>
      <start>21</start>
      <end>22</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a7db80-8df1-4757-b5e3-810bf158a3e0}">
  <ds:schemaRefs/>
</ds:datastoreItem>
</file>

<file path=docProps/app.xml><?xml version="1.0" encoding="utf-8"?>
<Properties xmlns="http://schemas.openxmlformats.org/officeDocument/2006/extended-properties" xmlns:vt="http://schemas.openxmlformats.org/officeDocument/2006/docPropsVTypes">
  <Template>Normal</Template>
  <Company>微软用户</Company>
  <Pages>2</Pages>
  <Words>747</Words>
  <Characters>812</Characters>
  <Lines>3</Lines>
  <Paragraphs>1</Paragraphs>
  <TotalTime>1</TotalTime>
  <ScaleCrop>false</ScaleCrop>
  <LinksUpToDate>false</LinksUpToDate>
  <CharactersWithSpaces>820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2017-12-07T01:14:00Z</dcterms:created>
  <dc:creator>小烦</dc:creator>
  <cp:lastModifiedBy>▲ 乱人心°</cp:lastModifiedBy>
  <cp:lastPrinted>2025-07-07T16:20:00Z</cp:lastPrinted>
  <dcterms:modified xsi:type="dcterms:W3CDTF">2026-09-11T07:45:53Z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9926A1D77D644EF49E08C985E9438146_13</vt:lpwstr>
  </property>
  <property fmtid="{D5CDD505-2E9C-101B-9397-08002B2CF9AE}" pid="4" name="KSOTemplateDocerSaveRecord">
    <vt:lpwstr>eyJoZGlkIjoiOTU1NDEwMDA2MjYxN2FkMTk4YzY0M2MyMmQwMTIyMGMiLCJ1c2VySWQiOiIyMjU2ODExOTQifQ==</vt:lpwstr>
  </property>
</Properties>
</file>